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</w:t>
      </w:r>
      <w:proofErr w:type="spellStart"/>
      <w:r>
        <w:t>кл</w:t>
      </w:r>
      <w:proofErr w:type="spellEnd"/>
      <w:r>
        <w:t xml:space="preserve">.: учеб. для </w:t>
      </w:r>
      <w:proofErr w:type="spellStart"/>
      <w:r>
        <w:t>общеобразоваттельных</w:t>
      </w:r>
      <w:proofErr w:type="spellEnd"/>
      <w:r>
        <w:t xml:space="preserve">  учреждений М. Я. Виленский, Т. Ю. </w:t>
      </w:r>
      <w:proofErr w:type="spellStart"/>
      <w:r>
        <w:t>Торочкова</w:t>
      </w:r>
      <w:proofErr w:type="spellEnd"/>
      <w:r>
        <w:t xml:space="preserve">, И. М. </w:t>
      </w:r>
    </w:p>
    <w:p w14:paraId="534268DA" w14:textId="77777777" w:rsidR="004835BA" w:rsidRDefault="004835BA" w:rsidP="004835BA">
      <w:pPr>
        <w:ind w:left="355"/>
      </w:pPr>
      <w:proofErr w:type="spellStart"/>
      <w:r>
        <w:t>Туревский</w:t>
      </w:r>
      <w:proofErr w:type="spellEnd"/>
      <w:r>
        <w:t xml:space="preserve"> ; под общ. ред. М. Я. Виленского. - </w:t>
      </w:r>
      <w:proofErr w:type="spellStart"/>
      <w:r>
        <w:t>М.:Просвещение</w:t>
      </w:r>
      <w:proofErr w:type="spellEnd"/>
      <w:r>
        <w:t xml:space="preserve">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</w:t>
      </w:r>
      <w:proofErr w:type="spellStart"/>
      <w:r>
        <w:t>Мельбурн;б</w:t>
      </w:r>
      <w:proofErr w:type="spellEnd"/>
      <w:r>
        <w:t xml:space="preserve">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30094A"/>
    <w:rsid w:val="004835BA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2024-02-15T12:47:00Z</dcterms:created>
  <dcterms:modified xsi:type="dcterms:W3CDTF">2024-02-15T12:47:00Z</dcterms:modified>
</cp:coreProperties>
</file>